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bookmarkStart w:id="0" w:name="block-25627902"/>
      <w:r w:rsidRPr="009D76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EC4" w:rsidRDefault="008115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c037b7b-5520-4791-a03a-b18d3eebfa6a"/>
      <w:r w:rsidRPr="009D76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544301" w:rsidRPr="001719AD" w:rsidRDefault="0081156C">
      <w:pPr>
        <w:spacing w:after="0" w:line="408" w:lineRule="auto"/>
        <w:ind w:left="120"/>
        <w:jc w:val="center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1719AD">
        <w:rPr>
          <w:rFonts w:ascii="Times New Roman" w:hAnsi="Times New Roman"/>
          <w:b/>
          <w:color w:val="000000"/>
          <w:sz w:val="28"/>
          <w:lang w:val="ru-RU"/>
        </w:rPr>
        <w:t>Советского района Алтайского края</w:t>
      </w:r>
      <w:bookmarkEnd w:id="1"/>
      <w:r w:rsidRPr="00171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9D765F">
        <w:rPr>
          <w:rFonts w:ascii="Times New Roman" w:hAnsi="Times New Roman"/>
          <w:b/>
          <w:color w:val="000000"/>
          <w:sz w:val="28"/>
          <w:lang w:val="ru-RU"/>
        </w:rPr>
        <w:t>"МБОУ Сибирская СОШ"</w:t>
      </w:r>
      <w:bookmarkEnd w:id="2"/>
    </w:p>
    <w:p w:rsidR="00544301" w:rsidRPr="009D765F" w:rsidRDefault="00544301" w:rsidP="00537EC4">
      <w:pPr>
        <w:spacing w:after="0" w:line="408" w:lineRule="auto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D765F" w:rsidTr="000D4161">
        <w:tc>
          <w:tcPr>
            <w:tcW w:w="3114" w:type="dxa"/>
          </w:tcPr>
          <w:p w:rsidR="00C53FFE" w:rsidRPr="0040209D" w:rsidRDefault="0081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15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15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115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15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0E6D86" w:rsidRDefault="006629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811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15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811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15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15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15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15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15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3397440)</w:t>
      </w: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544301" w:rsidRPr="009D765F" w:rsidRDefault="0081156C">
      <w:pPr>
        <w:spacing w:after="0" w:line="408" w:lineRule="auto"/>
        <w:ind w:left="120"/>
        <w:jc w:val="center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44301">
      <w:pPr>
        <w:spacing w:after="0"/>
        <w:ind w:left="120"/>
        <w:jc w:val="center"/>
        <w:rPr>
          <w:lang w:val="ru-RU"/>
        </w:rPr>
      </w:pPr>
    </w:p>
    <w:p w:rsidR="00544301" w:rsidRPr="009D765F" w:rsidRDefault="00537EC4" w:rsidP="00537EC4">
      <w:pPr>
        <w:spacing w:after="0"/>
        <w:rPr>
          <w:lang w:val="ru-RU"/>
        </w:rPr>
      </w:pPr>
      <w:bookmarkStart w:id="3" w:name="00db9df5-4f18-4315-937d-9949a0b704d1"/>
      <w:r>
        <w:rPr>
          <w:lang w:val="ru-RU"/>
        </w:rPr>
        <w:t xml:space="preserve">                                                              </w:t>
      </w:r>
      <w:proofErr w:type="spellStart"/>
      <w:r w:rsidR="0081156C" w:rsidRPr="009D765F">
        <w:rPr>
          <w:rFonts w:ascii="Times New Roman" w:hAnsi="Times New Roman"/>
          <w:b/>
          <w:color w:val="000000"/>
          <w:sz w:val="28"/>
          <w:lang w:val="ru-RU"/>
        </w:rPr>
        <w:t>с.Шульгинка</w:t>
      </w:r>
      <w:bookmarkEnd w:id="3"/>
      <w:proofErr w:type="spellEnd"/>
      <w:r w:rsidR="0081156C" w:rsidRPr="009D7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="0081156C" w:rsidRPr="009D76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44301" w:rsidRPr="009D765F" w:rsidRDefault="00544301">
      <w:pPr>
        <w:spacing w:after="0"/>
        <w:ind w:left="120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bookmarkStart w:id="5" w:name="block-25627903"/>
      <w:bookmarkEnd w:id="0"/>
      <w:r w:rsidRPr="009D76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</w:t>
      </w:r>
      <w:r w:rsidRPr="009D765F">
        <w:rPr>
          <w:rFonts w:ascii="Times New Roman" w:hAnsi="Times New Roman"/>
          <w:color w:val="000000"/>
          <w:sz w:val="28"/>
          <w:lang w:val="ru-RU"/>
        </w:rPr>
        <w:t>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</w:t>
      </w:r>
      <w:r w:rsidRPr="009D765F">
        <w:rPr>
          <w:rFonts w:ascii="Times New Roman" w:hAnsi="Times New Roman"/>
          <w:color w:val="000000"/>
          <w:sz w:val="28"/>
          <w:lang w:val="ru-RU"/>
        </w:rPr>
        <w:t>ти и общности математических методов познания как неотъемлемой части современного естественно-научного мировоззрения.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</w:t>
      </w:r>
      <w:r w:rsidRPr="009D765F">
        <w:rPr>
          <w:rFonts w:ascii="Times New Roman" w:hAnsi="Times New Roman"/>
          <w:color w:val="000000"/>
          <w:sz w:val="28"/>
          <w:lang w:val="ru-RU"/>
        </w:rPr>
        <w:t>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ыделены основные содержательные линии: «Случайные события и вероятности» и «Случайные величины и закон больших чисел».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данного учебного курса и смежных математических учебных курсов.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льной </w:t>
      </w: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</w:t>
      </w:r>
      <w:r w:rsidRPr="009D765F">
        <w:rPr>
          <w:rFonts w:ascii="Times New Roman" w:hAnsi="Times New Roman"/>
          <w:color w:val="000000"/>
          <w:sz w:val="28"/>
          <w:lang w:val="ru-RU"/>
        </w:rPr>
        <w:t>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</w:t>
      </w:r>
      <w:r w:rsidRPr="009D765F">
        <w:rPr>
          <w:rFonts w:ascii="Times New Roman" w:hAnsi="Times New Roman"/>
          <w:color w:val="000000"/>
          <w:sz w:val="28"/>
          <w:lang w:val="ru-RU"/>
        </w:rPr>
        <w:t>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</w:t>
      </w:r>
      <w:r w:rsidRPr="009D765F">
        <w:rPr>
          <w:rFonts w:ascii="Times New Roman" w:hAnsi="Times New Roman"/>
          <w:color w:val="000000"/>
          <w:sz w:val="28"/>
          <w:lang w:val="ru-RU"/>
        </w:rPr>
        <w:t>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9D765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уровне отводится 68 часов: в 10 классе – </w:t>
      </w:r>
      <w:r w:rsidRPr="009D765F">
        <w:rPr>
          <w:rFonts w:ascii="Times New Roman" w:hAnsi="Times New Roman"/>
          <w:color w:val="000000"/>
          <w:sz w:val="28"/>
          <w:lang w:val="ru-RU"/>
        </w:rPr>
        <w:t>34 часа (1 час в неделю), в 11 классе – 34 часа (1 час в неделю).</w:t>
      </w:r>
      <w:bookmarkEnd w:id="6"/>
    </w:p>
    <w:p w:rsidR="00544301" w:rsidRPr="009D765F" w:rsidRDefault="00544301">
      <w:pPr>
        <w:rPr>
          <w:lang w:val="ru-RU"/>
        </w:rPr>
        <w:sectPr w:rsidR="00544301" w:rsidRPr="009D765F">
          <w:pgSz w:w="11906" w:h="16383"/>
          <w:pgMar w:top="1134" w:right="850" w:bottom="1134" w:left="1701" w:header="720" w:footer="720" w:gutter="0"/>
          <w:cols w:space="720"/>
        </w:sect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bookmarkStart w:id="7" w:name="block-25627905"/>
      <w:bookmarkEnd w:id="5"/>
      <w:r w:rsidRPr="009D76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9D765F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9D765F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</w:t>
      </w:r>
      <w:r w:rsidRPr="009D765F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</w:t>
      </w:r>
      <w:r w:rsidRPr="009D765F">
        <w:rPr>
          <w:rFonts w:ascii="Times New Roman" w:hAnsi="Times New Roman"/>
          <w:color w:val="000000"/>
          <w:sz w:val="28"/>
          <w:lang w:val="ru-RU"/>
        </w:rPr>
        <w:t>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плотности и свойства нормального распределения.</w:t>
      </w:r>
    </w:p>
    <w:p w:rsidR="00544301" w:rsidRPr="00662950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одиночных независимых событий. </w:t>
      </w:r>
      <w:r w:rsidRPr="00662950">
        <w:rPr>
          <w:rFonts w:ascii="Times New Roman" w:hAnsi="Times New Roman"/>
          <w:color w:val="000000"/>
          <w:sz w:val="28"/>
          <w:lang w:val="ru-RU"/>
        </w:rPr>
        <w:t>Задачи, приводящие к распределению Пуассона.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</w:t>
      </w:r>
      <w:r w:rsidRPr="009D765F">
        <w:rPr>
          <w:rFonts w:ascii="Times New Roman" w:hAnsi="Times New Roman"/>
          <w:color w:val="000000"/>
          <w:sz w:val="28"/>
          <w:lang w:val="ru-RU"/>
        </w:rPr>
        <w:t>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44301" w:rsidRPr="009D765F" w:rsidRDefault="00544301">
      <w:pPr>
        <w:rPr>
          <w:lang w:val="ru-RU"/>
        </w:rPr>
        <w:sectPr w:rsidR="00544301" w:rsidRPr="009D765F">
          <w:pgSz w:w="11906" w:h="16383"/>
          <w:pgMar w:top="1134" w:right="850" w:bottom="1134" w:left="1701" w:header="720" w:footer="720" w:gutter="0"/>
          <w:cols w:space="720"/>
        </w:sect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bookmarkStart w:id="8" w:name="block-25627904"/>
      <w:bookmarkEnd w:id="7"/>
      <w:r w:rsidRPr="009D7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</w:t>
      </w:r>
      <w:r w:rsidRPr="009D765F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</w:t>
      </w:r>
      <w:r w:rsidRPr="009D765F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</w:t>
      </w:r>
      <w:r w:rsidRPr="009D765F">
        <w:rPr>
          <w:rFonts w:ascii="Times New Roman" w:hAnsi="Times New Roman"/>
          <w:color w:val="000000"/>
          <w:sz w:val="28"/>
          <w:lang w:val="ru-RU"/>
        </w:rPr>
        <w:t>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9D765F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</w:t>
      </w:r>
      <w:r w:rsidRPr="009D765F">
        <w:rPr>
          <w:rFonts w:ascii="Times New Roman" w:hAnsi="Times New Roman"/>
          <w:color w:val="000000"/>
          <w:sz w:val="28"/>
          <w:lang w:val="ru-RU"/>
        </w:rPr>
        <w:t>щего;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44301" w:rsidRPr="00662950" w:rsidRDefault="0081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</w:t>
      </w:r>
      <w:r w:rsidRPr="009D765F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662950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</w:t>
      </w:r>
      <w:r w:rsidRPr="00662950">
        <w:rPr>
          <w:rFonts w:ascii="Times New Roman" w:hAnsi="Times New Roman"/>
          <w:color w:val="000000"/>
          <w:sz w:val="28"/>
          <w:lang w:val="ru-RU"/>
        </w:rPr>
        <w:t>ствование при занятиях спортивно-оздоровительной деятельностью;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</w:t>
      </w:r>
      <w:r w:rsidRPr="009D765F">
        <w:rPr>
          <w:rFonts w:ascii="Times New Roman" w:hAnsi="Times New Roman"/>
          <w:color w:val="000000"/>
          <w:sz w:val="28"/>
          <w:lang w:val="ru-RU"/>
        </w:rPr>
        <w:t>ической направленности;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9D765F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9D765F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9D765F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9D765F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дела</w:t>
      </w:r>
      <w:r w:rsidRPr="009D765F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контрп</w:t>
      </w:r>
      <w:r w:rsidRPr="009D765F">
        <w:rPr>
          <w:rFonts w:ascii="Times New Roman" w:hAnsi="Times New Roman"/>
          <w:color w:val="000000"/>
          <w:sz w:val="28"/>
          <w:lang w:val="ru-RU"/>
        </w:rPr>
        <w:t>римеры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</w:t>
      </w:r>
      <w:r w:rsidRPr="009D765F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</w:t>
      </w:r>
      <w:r w:rsidRPr="009D765F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</w:t>
      </w:r>
      <w:r w:rsidRPr="009D765F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</w:t>
      </w:r>
      <w:r w:rsidRPr="009D765F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9D765F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9D765F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</w:t>
      </w:r>
      <w:r w:rsidRPr="009D765F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</w:t>
      </w:r>
      <w:r w:rsidRPr="009D765F">
        <w:rPr>
          <w:rFonts w:ascii="Times New Roman" w:hAnsi="Times New Roman"/>
          <w:color w:val="000000"/>
          <w:sz w:val="28"/>
          <w:lang w:val="ru-RU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найденных ошибок, выявленных трудностей;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D765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765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9D765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9D765F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left="120"/>
        <w:jc w:val="both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4301" w:rsidRPr="009D765F" w:rsidRDefault="00544301">
      <w:pPr>
        <w:spacing w:after="0" w:line="264" w:lineRule="auto"/>
        <w:ind w:left="120"/>
        <w:jc w:val="both"/>
        <w:rPr>
          <w:lang w:val="ru-RU"/>
        </w:rPr>
      </w:pP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765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эксперимента;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</w:t>
      </w:r>
      <w:r w:rsidRPr="009D765F">
        <w:rPr>
          <w:rFonts w:ascii="Times New Roman" w:hAnsi="Times New Roman"/>
          <w:color w:val="000000"/>
          <w:sz w:val="28"/>
          <w:lang w:val="ru-RU"/>
        </w:rPr>
        <w:t>бытий;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</w:t>
      </w:r>
      <w:r w:rsidRPr="009D765F">
        <w:rPr>
          <w:rFonts w:ascii="Times New Roman" w:hAnsi="Times New Roman"/>
          <w:color w:val="000000"/>
          <w:sz w:val="28"/>
          <w:lang w:val="ru-RU"/>
        </w:rPr>
        <w:t>мулу Байеса при решении задач, определять независимость событий по формуле и по организации случайного эксперимента;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ии вероятностей;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м со случайным выбором из конечной совокупности;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765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9D765F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свободно оп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</w:t>
      </w:r>
      <w:r w:rsidRPr="009D765F">
        <w:rPr>
          <w:rFonts w:ascii="Times New Roman" w:hAnsi="Times New Roman"/>
          <w:color w:val="000000"/>
          <w:sz w:val="28"/>
          <w:lang w:val="ru-RU"/>
        </w:rPr>
        <w:t xml:space="preserve">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44301" w:rsidRPr="009D765F" w:rsidRDefault="0081156C">
      <w:pPr>
        <w:spacing w:after="0" w:line="264" w:lineRule="auto"/>
        <w:ind w:firstLine="600"/>
        <w:jc w:val="both"/>
        <w:rPr>
          <w:lang w:val="ru-RU"/>
        </w:rPr>
      </w:pPr>
      <w:r w:rsidRPr="009D765F">
        <w:rPr>
          <w:rFonts w:ascii="Times New Roman" w:hAnsi="Times New Roman"/>
          <w:color w:val="000000"/>
          <w:sz w:val="28"/>
          <w:lang w:val="ru-RU"/>
        </w:rPr>
        <w:t>вычислять выборочные харак</w:t>
      </w:r>
      <w:r w:rsidRPr="009D765F">
        <w:rPr>
          <w:rFonts w:ascii="Times New Roman" w:hAnsi="Times New Roman"/>
          <w:color w:val="000000"/>
          <w:sz w:val="28"/>
          <w:lang w:val="ru-RU"/>
        </w:rPr>
        <w:t>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44301" w:rsidRPr="009D765F" w:rsidRDefault="00544301">
      <w:pPr>
        <w:rPr>
          <w:lang w:val="ru-RU"/>
        </w:rPr>
        <w:sectPr w:rsidR="00544301" w:rsidRPr="009D765F">
          <w:pgSz w:w="11906" w:h="16383"/>
          <w:pgMar w:top="1134" w:right="850" w:bottom="1134" w:left="1701" w:header="720" w:footer="720" w:gutter="0"/>
          <w:cols w:space="720"/>
        </w:sectPr>
      </w:pPr>
    </w:p>
    <w:p w:rsidR="00544301" w:rsidRDefault="0081156C">
      <w:pPr>
        <w:spacing w:after="0"/>
        <w:ind w:left="120"/>
      </w:pPr>
      <w:bookmarkStart w:id="9" w:name="block-25627908"/>
      <w:bookmarkEnd w:id="8"/>
      <w:r w:rsidRPr="009D7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544301" w:rsidRDefault="0081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443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301" w:rsidRDefault="00544301"/>
        </w:tc>
      </w:tr>
    </w:tbl>
    <w:p w:rsidR="00544301" w:rsidRDefault="00544301">
      <w:pPr>
        <w:sectPr w:rsidR="00544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01" w:rsidRDefault="0081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44301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44301" w:rsidRDefault="00544301"/>
        </w:tc>
      </w:tr>
    </w:tbl>
    <w:p w:rsidR="00544301" w:rsidRDefault="00544301">
      <w:pPr>
        <w:sectPr w:rsidR="00544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9AD" w:rsidRDefault="001719AD" w:rsidP="001719AD"/>
    <w:p w:rsidR="00544301" w:rsidRDefault="0081156C">
      <w:pPr>
        <w:spacing w:after="0"/>
        <w:ind w:left="120"/>
      </w:pPr>
      <w:bookmarkStart w:id="10" w:name="block-25627907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44301" w:rsidRDefault="0081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443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Default="00544301"/>
        </w:tc>
      </w:tr>
    </w:tbl>
    <w:p w:rsidR="00544301" w:rsidRDefault="00544301">
      <w:pPr>
        <w:sectPr w:rsidR="00544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01" w:rsidRDefault="00811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4430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301" w:rsidRDefault="00544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301" w:rsidRDefault="00544301"/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показательному и к нормальному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4301" w:rsidRDefault="00544301">
            <w:pPr>
              <w:spacing w:after="0"/>
              <w:ind w:left="135"/>
            </w:pPr>
          </w:p>
        </w:tc>
      </w:tr>
      <w:tr w:rsidR="00544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Pr="009D765F" w:rsidRDefault="0081156C">
            <w:pPr>
              <w:spacing w:after="0"/>
              <w:ind w:left="135"/>
              <w:rPr>
                <w:lang w:val="ru-RU"/>
              </w:rPr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 w:rsidRPr="009D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4301" w:rsidRDefault="00811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301" w:rsidRDefault="00544301"/>
        </w:tc>
      </w:tr>
    </w:tbl>
    <w:p w:rsidR="00544301" w:rsidRDefault="00544301">
      <w:pPr>
        <w:sectPr w:rsidR="00544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01" w:rsidRDefault="00544301">
      <w:pPr>
        <w:sectPr w:rsidR="00544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01" w:rsidRDefault="0081156C">
      <w:pPr>
        <w:spacing w:after="0"/>
        <w:ind w:left="120"/>
      </w:pPr>
      <w:bookmarkStart w:id="12" w:name="block-256279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301" w:rsidRDefault="00811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301" w:rsidRDefault="00544301">
      <w:pPr>
        <w:spacing w:after="0" w:line="480" w:lineRule="auto"/>
        <w:ind w:left="120"/>
      </w:pPr>
    </w:p>
    <w:p w:rsidR="00544301" w:rsidRDefault="00544301">
      <w:pPr>
        <w:spacing w:after="0" w:line="480" w:lineRule="auto"/>
        <w:ind w:left="120"/>
      </w:pPr>
    </w:p>
    <w:p w:rsidR="00544301" w:rsidRDefault="00544301">
      <w:pPr>
        <w:spacing w:after="0"/>
        <w:ind w:left="120"/>
      </w:pPr>
    </w:p>
    <w:p w:rsidR="00544301" w:rsidRDefault="00811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301" w:rsidRDefault="00544301">
      <w:pPr>
        <w:spacing w:after="0" w:line="480" w:lineRule="auto"/>
        <w:ind w:left="120"/>
      </w:pPr>
    </w:p>
    <w:p w:rsidR="00544301" w:rsidRDefault="00544301">
      <w:pPr>
        <w:spacing w:after="0"/>
        <w:ind w:left="120"/>
      </w:pPr>
    </w:p>
    <w:p w:rsidR="00544301" w:rsidRPr="009D765F" w:rsidRDefault="0081156C">
      <w:pPr>
        <w:spacing w:after="0" w:line="480" w:lineRule="auto"/>
        <w:ind w:left="120"/>
        <w:rPr>
          <w:lang w:val="ru-RU"/>
        </w:rPr>
      </w:pPr>
      <w:r w:rsidRPr="009D765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D765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44301" w:rsidRPr="009D765F" w:rsidRDefault="00544301">
      <w:pPr>
        <w:spacing w:after="0" w:line="480" w:lineRule="auto"/>
        <w:ind w:left="120"/>
        <w:rPr>
          <w:lang w:val="ru-RU"/>
        </w:rPr>
      </w:pPr>
    </w:p>
    <w:p w:rsidR="00544301" w:rsidRPr="009D765F" w:rsidRDefault="00544301">
      <w:pPr>
        <w:rPr>
          <w:lang w:val="ru-RU"/>
        </w:rPr>
        <w:sectPr w:rsidR="00544301" w:rsidRPr="009D765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156C" w:rsidRPr="009D765F" w:rsidRDefault="0081156C">
      <w:pPr>
        <w:rPr>
          <w:lang w:val="ru-RU"/>
        </w:rPr>
      </w:pPr>
    </w:p>
    <w:sectPr w:rsidR="0081156C" w:rsidRPr="009D76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301"/>
    <w:rsid w:val="001719AD"/>
    <w:rsid w:val="00537EC4"/>
    <w:rsid w:val="00544301"/>
    <w:rsid w:val="00662950"/>
    <w:rsid w:val="0081156C"/>
    <w:rsid w:val="009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FCFF"/>
  <w15:docId w15:val="{D0CC775C-9D42-463B-9864-947AC89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3672</Words>
  <Characters>20936</Characters>
  <Application>Microsoft Office Word</Application>
  <DocSecurity>0</DocSecurity>
  <Lines>174</Lines>
  <Paragraphs>49</Paragraphs>
  <ScaleCrop>false</ScaleCrop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ФИЗИКА_2</cp:lastModifiedBy>
  <cp:revision>5</cp:revision>
  <dcterms:created xsi:type="dcterms:W3CDTF">2024-10-31T05:14:00Z</dcterms:created>
  <dcterms:modified xsi:type="dcterms:W3CDTF">2024-10-31T05:17:00Z</dcterms:modified>
</cp:coreProperties>
</file>