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jc w:val="center"/>
        <w:rPr/>
      </w:pPr>
      <w:bookmarkStart w:id="0" w:name="block-21093680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3505" w:type="dxa"/>
        <w:jc w:val="left"/>
        <w:tblInd w:w="58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505"/>
      </w:tblGrid>
      <w:tr>
        <w:trPr/>
        <w:tc>
          <w:tcPr>
            <w:tcW w:w="3505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_Майманова О.Д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Приказ№112 от «24»  августа  2023г.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2812741)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1" w:name="block-21093677"/>
      <w:bookmarkStart w:id="2" w:name="block-21093680_Копия_1"/>
      <w:bookmarkEnd w:id="1"/>
      <w:bookmarkEnd w:id="2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‌</w:t>
      </w:r>
      <w:bookmarkStart w:id="3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4" w:name="block-21093681"/>
      <w:bookmarkStart w:id="5" w:name="block-21093677_Копия_1"/>
      <w:bookmarkEnd w:id="4"/>
      <w:bookmarkEnd w:id="5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Объёмная аппликация из бумаги и картона.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6" w:name="_Toc137210402"/>
      <w:bookmarkStart w:id="7" w:name="_Toc137210402"/>
      <w:bookmarkEnd w:id="7"/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​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8" w:name="_Toc137210403"/>
      <w:bookmarkStart w:id="9" w:name="_Toc137210403"/>
      <w:bookmarkEnd w:id="9"/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10" w:name="_Toc137210404"/>
      <w:bookmarkStart w:id="11" w:name="_Toc137210404"/>
      <w:bookmarkEnd w:id="11"/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12" w:name="block-21093678"/>
      <w:bookmarkStart w:id="13" w:name="block-21093681_Копия_1"/>
      <w:bookmarkEnd w:id="12"/>
      <w:bookmarkEnd w:id="13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4" w:name="_Toc124264881"/>
      <w:bookmarkEnd w:id="14"/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15" w:name="_Toc124264882"/>
      <w:bookmarkStart w:id="16" w:name="_Toc124264882"/>
      <w:bookmarkEnd w:id="16"/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7" w:name="_TOC_250003"/>
      <w:bookmarkEnd w:id="17"/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8" w:name="_TOC_250002"/>
      <w:bookmarkEnd w:id="18"/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pStyle w:val="Normal"/>
        <w:spacing w:before="0" w:after="0"/>
        <w:ind w:left="120" w:hanging="0"/>
        <w:rPr/>
      </w:pPr>
      <w:bookmarkStart w:id="19" w:name="block-21093679"/>
      <w:bookmarkStart w:id="20" w:name="block-21093678_Копия_1"/>
      <w:bookmarkEnd w:id="19"/>
      <w:bookmarkEnd w:id="20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96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19"/>
        <w:gridCol w:w="4392"/>
        <w:gridCol w:w="1651"/>
        <w:gridCol w:w="1840"/>
        <w:gridCol w:w="1911"/>
        <w:gridCol w:w="2851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96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19"/>
        <w:gridCol w:w="4392"/>
        <w:gridCol w:w="1651"/>
        <w:gridCol w:w="1840"/>
        <w:gridCol w:w="1911"/>
        <w:gridCol w:w="2851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96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19"/>
        <w:gridCol w:w="4392"/>
        <w:gridCol w:w="1651"/>
        <w:gridCol w:w="1840"/>
        <w:gridCol w:w="1911"/>
        <w:gridCol w:w="2851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965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19"/>
        <w:gridCol w:w="4392"/>
        <w:gridCol w:w="1651"/>
        <w:gridCol w:w="1840"/>
        <w:gridCol w:w="1911"/>
        <w:gridCol w:w="2851"/>
      </w:tblGrid>
      <w:tr>
        <w:trPr>
          <w:trHeight w:val="144" w:hRule="atLeast"/>
        </w:trPr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>
        <w:trPr>
          <w:trHeight w:val="144" w:hRule="atLeast"/>
        </w:trPr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bookmarkStart w:id="21" w:name="_GoBack"/>
      <w:bookmarkStart w:id="22" w:name="block-21093682"/>
      <w:bookmarkStart w:id="23" w:name="block-21093679_Копия_1"/>
      <w:bookmarkEnd w:id="21"/>
      <w:bookmarkEnd w:id="22"/>
      <w:bookmarkEnd w:id="23"/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06"/>
        <w:gridCol w:w="3829"/>
        <w:gridCol w:w="1245"/>
        <w:gridCol w:w="1841"/>
        <w:gridCol w:w="1911"/>
        <w:gridCol w:w="1346"/>
        <w:gridCol w:w="2861"/>
      </w:tblGrid>
      <w:tr>
        <w:trPr>
          <w:trHeight w:val="144" w:hRule="atLeast"/>
        </w:trPr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>
        <w:trPr>
          <w:trHeight w:val="144" w:hRule="atLeast"/>
        </w:trPr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24" w:name="block-21093683"/>
      <w:bookmarkStart w:id="25" w:name="block-21093682_Копия_1"/>
      <w:bookmarkEnd w:id="2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24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2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1892" TargetMode="External"/><Relationship Id="rId3" Type="http://schemas.openxmlformats.org/officeDocument/2006/relationships/hyperlink" Target="https://m.edsoo.ru/7f411892" TargetMode="External"/><Relationship Id="rId4" Type="http://schemas.openxmlformats.org/officeDocument/2006/relationships/hyperlink" Target="https://m.edsoo.ru/7f411892" TargetMode="External"/><Relationship Id="rId5" Type="http://schemas.openxmlformats.org/officeDocument/2006/relationships/hyperlink" Target="https://m.edsoo.ru/7f411892" TargetMode="External"/><Relationship Id="rId6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29ea" TargetMode="External"/><Relationship Id="rId8" Type="http://schemas.openxmlformats.org/officeDocument/2006/relationships/hyperlink" Target="https://m.edsoo.ru/7f4129ea" TargetMode="External"/><Relationship Id="rId9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fe78" TargetMode="External"/><Relationship Id="rId13" Type="http://schemas.openxmlformats.org/officeDocument/2006/relationships/hyperlink" Target="https://m.edsoo.ru/8a14d4ca" TargetMode="External"/><Relationship Id="rId14" Type="http://schemas.openxmlformats.org/officeDocument/2006/relationships/hyperlink" Target="https://m.edsoo.ru/8a14dd4e" TargetMode="External"/><Relationship Id="rId15" Type="http://schemas.openxmlformats.org/officeDocument/2006/relationships/hyperlink" Target="https://m.edsoo.ru/8a150e90" TargetMode="External"/><Relationship Id="rId16" Type="http://schemas.openxmlformats.org/officeDocument/2006/relationships/hyperlink" Target="https://m.edsoo.ru/8a14f630" TargetMode="External"/><Relationship Id="rId17" Type="http://schemas.openxmlformats.org/officeDocument/2006/relationships/hyperlink" Target="https://m.edsoo.ru/8a151070" TargetMode="External"/><Relationship Id="rId18" Type="http://schemas.openxmlformats.org/officeDocument/2006/relationships/hyperlink" Target="https://m.edsoo.ru/8a14eafa" TargetMode="External"/><Relationship Id="rId19" Type="http://schemas.openxmlformats.org/officeDocument/2006/relationships/hyperlink" Target="https://m.edsoo.ru/8a14ec6c" TargetMode="External"/><Relationship Id="rId20" Type="http://schemas.openxmlformats.org/officeDocument/2006/relationships/hyperlink" Target="https://m.edsoo.ru/8a14ede8" TargetMode="External"/><Relationship Id="rId21" Type="http://schemas.openxmlformats.org/officeDocument/2006/relationships/hyperlink" Target="https://m.edsoo.ru/8a14e302" TargetMode="External"/><Relationship Id="rId22" Type="http://schemas.openxmlformats.org/officeDocument/2006/relationships/hyperlink" Target="https://m.edsoo.ru/8a14fcca" TargetMode="External"/><Relationship Id="rId23" Type="http://schemas.openxmlformats.org/officeDocument/2006/relationships/hyperlink" Target="https://m.edsoo.ru/8a14f838" TargetMode="External"/><Relationship Id="rId24" Type="http://schemas.openxmlformats.org/officeDocument/2006/relationships/hyperlink" Target="https://m.edsoo.ru/8a14db64" TargetMode="External"/><Relationship Id="rId25" Type="http://schemas.openxmlformats.org/officeDocument/2006/relationships/hyperlink" Target="https://m.edsoo.ru/8a14d7b8" TargetMode="External"/><Relationship Id="rId26" Type="http://schemas.openxmlformats.org/officeDocument/2006/relationships/hyperlink" Target="https://m.edsoo.ru/8a14ec6c" TargetMode="External"/><Relationship Id="rId27" Type="http://schemas.openxmlformats.org/officeDocument/2006/relationships/hyperlink" Target="https://m.edsoo.ru/8a14e938" TargetMode="External"/><Relationship Id="rId28" Type="http://schemas.openxmlformats.org/officeDocument/2006/relationships/hyperlink" Target="https://m.edsoo.ru/8a14f036" TargetMode="External"/><Relationship Id="rId29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1584" TargetMode="External"/><Relationship Id="rId31" Type="http://schemas.openxmlformats.org/officeDocument/2006/relationships/hyperlink" Target="https://m.edsoo.ru/8a15074c" TargetMode="External"/><Relationship Id="rId32" Type="http://schemas.openxmlformats.org/officeDocument/2006/relationships/hyperlink" Target="https://m.edsoo.ru/8a15088c" TargetMode="External"/><Relationship Id="rId33" Type="http://schemas.openxmlformats.org/officeDocument/2006/relationships/hyperlink" Target="https://m.edsoo.ru/8a14faa4" TargetMode="External"/><Relationship Id="rId34" Type="http://schemas.openxmlformats.org/officeDocument/2006/relationships/hyperlink" Target="https://m.edsoo.ru/8a150a80" TargetMode="External"/><Relationship Id="rId35" Type="http://schemas.openxmlformats.org/officeDocument/2006/relationships/hyperlink" Target="https://m.edsoo.ru/8a151a7a" TargetMode="External"/><Relationship Id="rId36" Type="http://schemas.openxmlformats.org/officeDocument/2006/relationships/hyperlink" Target="https://m.edsoo.ru/8a151318" TargetMode="External"/><Relationship Id="rId37" Type="http://schemas.openxmlformats.org/officeDocument/2006/relationships/hyperlink" Target="https://m.edsoo.ru/8a15006c" TargetMode="External"/><Relationship Id="rId38" Type="http://schemas.openxmlformats.org/officeDocument/2006/relationships/hyperlink" Target="https://m.edsoo.ru/8a150cb0" TargetMode="External"/><Relationship Id="rId39" Type="http://schemas.openxmlformats.org/officeDocument/2006/relationships/hyperlink" Target="https://m.edsoo.ru/8a14e4c4" TargetMode="External"/><Relationship Id="rId40" Type="http://schemas.openxmlformats.org/officeDocument/2006/relationships/hyperlink" Target="https://m.edsoo.ru/8a14e6b8" TargetMode="Externa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LibreOffice/7.5.2.1$Linux_X86_64 LibreOffice_project/50$Build-1</Application>
  <AppVersion>15.0000</AppVersion>
  <Pages>44</Pages>
  <Words>8141</Words>
  <Characters>60166</Characters>
  <CharactersWithSpaces>67714</CharactersWithSpaces>
  <Paragraphs>703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2023-09-14T04:49:00Z</dcterms:created>
  <dc:creator>кабинет информатики</dc:creator>
  <dc:description/>
  <dc:language>ru-RU</dc:language>
  <cp:lastModifiedBy/>
  <dcterms:modified xsi:type="dcterms:W3CDTF">2024-03-27T11:40:09Z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